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0A781108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Tècniques del guió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43A59124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367016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775C5464" w:rsidR="000065B3" w:rsidRPr="000065B3" w:rsidRDefault="000065B3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>Idear</w:t>
      </w:r>
      <w:r w:rsidR="002657FB">
        <w:rPr>
          <w:lang w:val="ca-ES"/>
        </w:rPr>
        <w:t xml:space="preserve">, desenvolupar i escriure guions d’obres audiovisuals de diferents característiques, formats i gèneres. 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38A279D0" w14:textId="33321496" w:rsidR="5965BDA9" w:rsidRDefault="00F24DCD" w:rsidP="00602A6A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Fonaments narratius aplicats al guió. Elements essencials del relat: conflicte, objectiu, obstacles, arc dramàtic. Estructures bàsiques i variacions contemporànies. </w:t>
      </w:r>
    </w:p>
    <w:p w14:paraId="4BB38F9A" w14:textId="28E896FD" w:rsidR="007266C1" w:rsidRDefault="007266C1" w:rsidP="00602A6A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Personatges i espai dramàtic. Construcció del personatge: desig, contradicció i tran</w:t>
      </w:r>
      <w:r w:rsidR="00121903">
        <w:rPr>
          <w:rFonts w:ascii="Calibri" w:eastAsia="Calibri" w:hAnsi="Calibri" w:cs="Calibri"/>
          <w:color w:val="000000" w:themeColor="text1"/>
          <w:lang w:val="ca-ES"/>
        </w:rPr>
        <w:t xml:space="preserve">sformació. </w:t>
      </w:r>
      <w:r w:rsidR="00636143">
        <w:rPr>
          <w:rFonts w:ascii="Calibri" w:eastAsia="Calibri" w:hAnsi="Calibri" w:cs="Calibri"/>
          <w:color w:val="000000" w:themeColor="text1"/>
          <w:lang w:val="ca-ES"/>
        </w:rPr>
        <w:t xml:space="preserve">Dinàmica entre personatges i relacions dramàtiques. Cohesió entre personatges, to i univers narratiu. </w:t>
      </w:r>
    </w:p>
    <w:p w14:paraId="3DDB400B" w14:textId="59E4953A" w:rsidR="00636143" w:rsidRDefault="005F3CB6" w:rsidP="00602A6A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Mecànica de l’escena i l’escriptura efectiva. Funcionament de l’escena: objectiu, tensió,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subtext</w:t>
      </w:r>
      <w:proofErr w:type="spellEnd"/>
      <w:r w:rsidR="006D7C80">
        <w:rPr>
          <w:rFonts w:ascii="Calibri" w:eastAsia="Calibri" w:hAnsi="Calibri" w:cs="Calibri"/>
          <w:color w:val="000000" w:themeColor="text1"/>
          <w:lang w:val="ca-ES"/>
        </w:rPr>
        <w:t xml:space="preserve">. Ritme i progressió de la seqüència. Diàleg funcional i expressiu; alternatives no verbals. </w:t>
      </w:r>
    </w:p>
    <w:p w14:paraId="3AABBD16" w14:textId="3BEEFC57" w:rsidR="00536ACE" w:rsidRDefault="00536ACE" w:rsidP="00602A6A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Estructures i formats del guió. Escaleta, beat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sheet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, tractament i guió literari. Relats lineals i no lin</w:t>
      </w:r>
      <w:r w:rsidR="009025DB">
        <w:rPr>
          <w:rFonts w:ascii="Calibri" w:eastAsia="Calibri" w:hAnsi="Calibri" w:cs="Calibri"/>
          <w:color w:val="000000" w:themeColor="text1"/>
          <w:lang w:val="ca-ES"/>
        </w:rPr>
        <w:t xml:space="preserve">eals en format breu. Gèneres i convencions narratives bàsiques. </w:t>
      </w:r>
    </w:p>
    <w:p w14:paraId="1A01E90F" w14:textId="647D4C56" w:rsidR="008944CE" w:rsidRDefault="008944CE" w:rsidP="00602A6A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Desenvolupament i reescriptura del projecte. De la idea a la premissa i sinopsi. Estratègies de reescriptura. Presentació breu del projecte (pitch). </w:t>
      </w:r>
    </w:p>
    <w:p w14:paraId="6336124E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587F59C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269861A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3221BCAC" w14:textId="77777777" w:rsidR="008944CE" w:rsidRPr="00602A6A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lastRenderedPageBreak/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Classes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teòrico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4F97FEBA" w14:textId="59D06981" w:rsidR="00BA715D" w:rsidRPr="00BA715D" w:rsidRDefault="00BA715D" w:rsidP="00BA715D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A715D">
        <w:rPr>
          <w:rFonts w:ascii="Calibri" w:eastAsia="Calibri" w:hAnsi="Calibri" w:cs="Calibri"/>
          <w:color w:val="000000" w:themeColor="text1"/>
        </w:rPr>
        <w:t xml:space="preserve">Field, S. (2001).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El libro del guion</w:t>
      </w:r>
      <w:r w:rsidRPr="00BA715D">
        <w:rPr>
          <w:rFonts w:ascii="Calibri" w:eastAsia="Calibri" w:hAnsi="Calibri" w:cs="Calibri"/>
          <w:color w:val="000000" w:themeColor="text1"/>
        </w:rPr>
        <w:t xml:space="preserve">. </w:t>
      </w:r>
      <w:proofErr w:type="spellStart"/>
      <w:r w:rsidRPr="00BA715D">
        <w:rPr>
          <w:rFonts w:ascii="Calibri" w:eastAsia="Calibri" w:hAnsi="Calibri" w:cs="Calibri"/>
          <w:color w:val="000000" w:themeColor="text1"/>
        </w:rPr>
        <w:t>Plot</w:t>
      </w:r>
      <w:proofErr w:type="spellEnd"/>
      <w:r w:rsidRPr="00BA715D">
        <w:rPr>
          <w:rFonts w:ascii="Calibri" w:eastAsia="Calibri" w:hAnsi="Calibri" w:cs="Calibri"/>
          <w:color w:val="000000" w:themeColor="text1"/>
        </w:rPr>
        <w:t xml:space="preserve"> Ediciones.</w:t>
      </w:r>
    </w:p>
    <w:p w14:paraId="1513FBF7" w14:textId="470F7279" w:rsidR="00BA715D" w:rsidRPr="00BA715D" w:rsidRDefault="00BA715D" w:rsidP="00BA715D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A715D">
        <w:rPr>
          <w:rFonts w:ascii="Calibri" w:eastAsia="Calibri" w:hAnsi="Calibri" w:cs="Calibri"/>
          <w:color w:val="000000" w:themeColor="text1"/>
        </w:rPr>
        <w:t xml:space="preserve">McKee, R. (2013).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El guion: Sustancia, estructura, estilo y principios de la escritura de guiones</w:t>
      </w:r>
      <w:r w:rsidRPr="00BA715D">
        <w:rPr>
          <w:rFonts w:ascii="Calibri" w:eastAsia="Calibri" w:hAnsi="Calibri" w:cs="Calibri"/>
          <w:color w:val="000000" w:themeColor="text1"/>
        </w:rPr>
        <w:t>. Alba Editorial.</w:t>
      </w:r>
    </w:p>
    <w:p w14:paraId="3AB5F6C4" w14:textId="5820731C" w:rsidR="00BA715D" w:rsidRPr="00BA715D" w:rsidRDefault="00BA715D" w:rsidP="00BA715D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A715D">
        <w:rPr>
          <w:rFonts w:ascii="Calibri" w:eastAsia="Calibri" w:hAnsi="Calibri" w:cs="Calibri"/>
          <w:color w:val="000000" w:themeColor="text1"/>
        </w:rPr>
        <w:t xml:space="preserve">Seger, L. (2010).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Cómo convertir un buen guion en un guion excelente</w:t>
      </w:r>
      <w:r w:rsidRPr="00BA715D">
        <w:rPr>
          <w:rFonts w:ascii="Calibri" w:eastAsia="Calibri" w:hAnsi="Calibri" w:cs="Calibri"/>
          <w:color w:val="000000" w:themeColor="text1"/>
        </w:rPr>
        <w:t xml:space="preserve">. </w:t>
      </w:r>
      <w:proofErr w:type="spellStart"/>
      <w:r w:rsidRPr="00BA715D">
        <w:rPr>
          <w:rFonts w:ascii="Calibri" w:eastAsia="Calibri" w:hAnsi="Calibri" w:cs="Calibri"/>
          <w:color w:val="000000" w:themeColor="text1"/>
        </w:rPr>
        <w:t>Plot</w:t>
      </w:r>
      <w:proofErr w:type="spellEnd"/>
      <w:r w:rsidRPr="00BA715D">
        <w:rPr>
          <w:rFonts w:ascii="Calibri" w:eastAsia="Calibri" w:hAnsi="Calibri" w:cs="Calibri"/>
          <w:color w:val="000000" w:themeColor="text1"/>
        </w:rPr>
        <w:t xml:space="preserve"> Ediciones.</w:t>
      </w:r>
    </w:p>
    <w:p w14:paraId="71C89458" w14:textId="29B12596" w:rsidR="00BA715D" w:rsidRPr="00BA715D" w:rsidRDefault="00BA715D" w:rsidP="00BA715D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A715D">
        <w:rPr>
          <w:rFonts w:ascii="Calibri" w:eastAsia="Calibri" w:hAnsi="Calibri" w:cs="Calibri"/>
          <w:color w:val="000000" w:themeColor="text1"/>
        </w:rPr>
        <w:t xml:space="preserve">Chatman, S. (1990).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Historia y discurso: La estructura narrativa en la novela y el cine</w:t>
      </w:r>
      <w:r w:rsidRPr="00BA715D">
        <w:rPr>
          <w:rFonts w:ascii="Calibri" w:eastAsia="Calibri" w:hAnsi="Calibri" w:cs="Calibri"/>
          <w:color w:val="000000" w:themeColor="text1"/>
        </w:rPr>
        <w:t>. Taurus.</w:t>
      </w:r>
    </w:p>
    <w:p w14:paraId="36EFD753" w14:textId="18FE679A" w:rsidR="00BA715D" w:rsidRPr="00BA715D" w:rsidRDefault="00BA715D" w:rsidP="00BA715D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A715D">
        <w:rPr>
          <w:rFonts w:ascii="Calibri" w:eastAsia="Calibri" w:hAnsi="Calibri" w:cs="Calibri"/>
          <w:color w:val="000000" w:themeColor="text1"/>
        </w:rPr>
        <w:t xml:space="preserve">Bordwell, D. (1996).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La narración en el cine de ficción</w:t>
      </w:r>
      <w:r w:rsidRPr="00BA715D">
        <w:rPr>
          <w:rFonts w:ascii="Calibri" w:eastAsia="Calibri" w:hAnsi="Calibri" w:cs="Calibri"/>
          <w:color w:val="000000" w:themeColor="text1"/>
        </w:rPr>
        <w:t>. Paidós Comunicación.</w:t>
      </w:r>
    </w:p>
    <w:p w14:paraId="50743F42" w14:textId="536DB54F" w:rsidR="00BA715D" w:rsidRPr="00BA715D" w:rsidRDefault="00BA715D" w:rsidP="00BA715D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A715D">
        <w:rPr>
          <w:rFonts w:ascii="Calibri" w:eastAsia="Calibri" w:hAnsi="Calibri" w:cs="Calibri"/>
          <w:color w:val="000000" w:themeColor="text1"/>
        </w:rPr>
        <w:t xml:space="preserve">Egri, L. (2004).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El arte de la escritura dramática</w:t>
      </w:r>
      <w:r w:rsidRPr="00BA715D">
        <w:rPr>
          <w:rFonts w:ascii="Calibri" w:eastAsia="Calibri" w:hAnsi="Calibri" w:cs="Calibri"/>
          <w:color w:val="000000" w:themeColor="text1"/>
        </w:rPr>
        <w:t>. EUDEBA / Paidós.</w:t>
      </w:r>
      <w:r w:rsidRPr="00BA715D">
        <w:rPr>
          <w:rFonts w:ascii="Calibri" w:eastAsia="Calibri" w:hAnsi="Calibri" w:cs="Calibri"/>
          <w:color w:val="000000" w:themeColor="text1"/>
        </w:rPr>
        <w:br/>
        <w:t xml:space="preserve">Truby, J. (2014). </w:t>
      </w:r>
      <w:r w:rsidRPr="00BA715D">
        <w:rPr>
          <w:rFonts w:ascii="Calibri" w:eastAsia="Calibri" w:hAnsi="Calibri" w:cs="Calibri"/>
          <w:i/>
          <w:iCs/>
          <w:color w:val="000000" w:themeColor="text1"/>
        </w:rPr>
        <w:t>Anatomía del guion: 22 pasos para convertirse en un maestro del relato</w:t>
      </w:r>
      <w:r w:rsidRPr="00BA715D">
        <w:rPr>
          <w:rFonts w:ascii="Calibri" w:eastAsia="Calibri" w:hAnsi="Calibri" w:cs="Calibri"/>
          <w:color w:val="000000" w:themeColor="text1"/>
        </w:rPr>
        <w:t>. Alba Editorial.</w:t>
      </w:r>
    </w:p>
    <w:p w14:paraId="52DCAE48" w14:textId="3715B6EA" w:rsidR="329A0F9B" w:rsidRDefault="329A0F9B" w:rsidP="64C62A86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sectPr w:rsidR="329A0F9B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DBA9B" w14:textId="77777777" w:rsidR="006B4C72" w:rsidRDefault="006B4C72">
      <w:pPr>
        <w:spacing w:after="0" w:line="240" w:lineRule="auto"/>
      </w:pPr>
      <w:r>
        <w:separator/>
      </w:r>
    </w:p>
  </w:endnote>
  <w:endnote w:type="continuationSeparator" w:id="0">
    <w:p w14:paraId="640D17C6" w14:textId="77777777" w:rsidR="006B4C72" w:rsidRDefault="006B4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7224E" w14:textId="77777777" w:rsidR="006B4C72" w:rsidRDefault="006B4C72">
      <w:pPr>
        <w:spacing w:after="0" w:line="240" w:lineRule="auto"/>
      </w:pPr>
      <w:r>
        <w:separator/>
      </w:r>
    </w:p>
  </w:footnote>
  <w:footnote w:type="continuationSeparator" w:id="0">
    <w:p w14:paraId="5E898FA4" w14:textId="77777777" w:rsidR="006B4C72" w:rsidRDefault="006B4C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4"/>
  </w:num>
  <w:num w:numId="4" w16cid:durableId="1564096709">
    <w:abstractNumId w:val="23"/>
  </w:num>
  <w:num w:numId="5" w16cid:durableId="222720546">
    <w:abstractNumId w:val="8"/>
  </w:num>
  <w:num w:numId="6" w16cid:durableId="757796935">
    <w:abstractNumId w:val="18"/>
  </w:num>
  <w:num w:numId="7" w16cid:durableId="1152211386">
    <w:abstractNumId w:val="19"/>
  </w:num>
  <w:num w:numId="8" w16cid:durableId="279344427">
    <w:abstractNumId w:val="27"/>
  </w:num>
  <w:num w:numId="9" w16cid:durableId="1795632521">
    <w:abstractNumId w:val="13"/>
  </w:num>
  <w:num w:numId="10" w16cid:durableId="268007871">
    <w:abstractNumId w:val="12"/>
  </w:num>
  <w:num w:numId="11" w16cid:durableId="2023823211">
    <w:abstractNumId w:val="7"/>
  </w:num>
  <w:num w:numId="12" w16cid:durableId="1872764957">
    <w:abstractNumId w:val="17"/>
  </w:num>
  <w:num w:numId="13" w16cid:durableId="1682273063">
    <w:abstractNumId w:val="20"/>
  </w:num>
  <w:num w:numId="14" w16cid:durableId="738478791">
    <w:abstractNumId w:val="15"/>
  </w:num>
  <w:num w:numId="15" w16cid:durableId="1914120372">
    <w:abstractNumId w:val="9"/>
  </w:num>
  <w:num w:numId="16" w16cid:durableId="539441880">
    <w:abstractNumId w:val="11"/>
  </w:num>
  <w:num w:numId="17" w16cid:durableId="1130591165">
    <w:abstractNumId w:val="5"/>
  </w:num>
  <w:num w:numId="18" w16cid:durableId="465516534">
    <w:abstractNumId w:val="14"/>
  </w:num>
  <w:num w:numId="19" w16cid:durableId="1629045131">
    <w:abstractNumId w:val="16"/>
  </w:num>
  <w:num w:numId="20" w16cid:durableId="1803234709">
    <w:abstractNumId w:val="26"/>
  </w:num>
  <w:num w:numId="21" w16cid:durableId="1520201394">
    <w:abstractNumId w:val="21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5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2"/>
  </w:num>
  <w:num w:numId="28" w16cid:durableId="13227392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121903"/>
    <w:rsid w:val="002657FB"/>
    <w:rsid w:val="004D7F2B"/>
    <w:rsid w:val="004DC161"/>
    <w:rsid w:val="00517BD7"/>
    <w:rsid w:val="00536ACE"/>
    <w:rsid w:val="005F3CB6"/>
    <w:rsid w:val="00602A6A"/>
    <w:rsid w:val="00636143"/>
    <w:rsid w:val="006B4C72"/>
    <w:rsid w:val="006D7C80"/>
    <w:rsid w:val="007266C1"/>
    <w:rsid w:val="0074914A"/>
    <w:rsid w:val="007D0EA0"/>
    <w:rsid w:val="007F6165"/>
    <w:rsid w:val="008757FD"/>
    <w:rsid w:val="008944CE"/>
    <w:rsid w:val="008BE641"/>
    <w:rsid w:val="009025DB"/>
    <w:rsid w:val="00930D3D"/>
    <w:rsid w:val="00ADBAC3"/>
    <w:rsid w:val="00BA715D"/>
    <w:rsid w:val="00BC6514"/>
    <w:rsid w:val="00CC558E"/>
    <w:rsid w:val="00F24DCD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446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20</cp:revision>
  <dcterms:created xsi:type="dcterms:W3CDTF">2023-01-11T14:53:00Z</dcterms:created>
  <dcterms:modified xsi:type="dcterms:W3CDTF">2026-02-27T14:57:00Z</dcterms:modified>
</cp:coreProperties>
</file>